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409</w:t>
      </w:r>
    </w:p>
    <w:p>
      <w:r>
        <w:t>Bundesgericht (BGE), 1998-05-27, FR</w:t>
      </w:r>
    </w:p>
    <w:p>
      <w:r>
        <w:rPr>
          <w:b/>
        </w:rPr>
        <w:t xml:space="preserve">Quelle: </w:t>
      </w:r>
      <w:r>
        <w:t>https://mcp.opencaselaw.ch/entscheid/bge_138 V 409</w:t>
      </w:r>
    </w:p>
    <w:p>
      <w:r>
        <w:t>FR: ATF 138 V 409</w:t>
      </w:r>
    </w:p>
    <w:p>
      <w:r>
        <w:t>IT: DTF 138 V 409</w:t>
      </w:r>
    </w:p>
    <w:p>
      <w:pPr>
        <w:pStyle w:val="Heading2"/>
      </w:pPr>
      <w:r>
        <w:t>Regeste</w:t>
      </w:r>
    </w:p>
    <w:p>
      <w:r>
        <w:t>Regeste a Art. 23 ff. BVG; Art. 88 bis Abs. 2 IVV; Voraussetzungen der Anpassung oder Aufhebung von Invalidenleistungen der beruflichen Vorsorge. Invalidenleistungen der beruflichen Vorsorge müssen grundsätzlich angepasst werden, wenn sie den gegenwärtigen tatsächlichen oder rechtlichen Verhältnissen objektiv nicht oder nicht mehr entsprechen (E. 3.2). Massgebender Zeitpunkt für die Rentenanpassung (E. 3.3).</w:t>
      </w:r>
    </w:p>
    <w:p>
      <w:r>
        <w:t>Regeste b Art. 23 BVG; Begriff des sachlichen Zusammenhangs. Tragen verschiedene Gesundheitsschädigungen zur Invalidität bei, so ist hinsichtlich jeder Gesundheitsschädigung gesondert zu prüfen, ob die jeweilige Arbeitsunfähigkeit während der Dauer des Versicherungsverhältnisses mit der Vorsorgeeinrichtung eingetreten ist (E. 6).</w:t>
      </w:r>
    </w:p>
    <w:p>
      <w:pPr>
        <w:pStyle w:val="Heading2"/>
      </w:pPr>
      <w:r>
        <w:t>Erwägungen</w:t>
      </w:r>
    </w:p>
    <w:p>
      <w:r>
        <w:rPr>
          <w:b/>
        </w:rPr>
        <w:t>E. 2.1</w:t>
      </w:r>
    </w:p>
    <w:p>
      <w:r>
        <w:t>La juridiction cantonale a estimé que la recourante devait se voir imputer les taux d'invalidité retenus dans le cadre de la procédure en matière d'assurance-invalidité. En considérant que la réduction provisoire à une demi-rente pour la période courant du 1 er décembre 2004 au 1 er février 2005, exercée au titre d'une reconsidération, n'avait juridiquement pas lieu d'être, le Tribunal administratif fédéral avait consacré l'existence d'un droit à une rente entière d'invalidité sans interruption depuis le 1 er décembre 1994. Les explications du Tribunal administratif fédéral mettaient clairement en évidence que le degré d'invalidité présenté par l'assuré était demeuré stable à 89 % jusqu'au 31 janvier 2005 et qu'il était tombé par la suite à 70 %, modification qui n'avait aucune incidence sur le droit à la rente. Dans ces conditions, il n'y avait pas lieu d'entrer en matière sur les arguments de la recourante relatifs à sa non-responsabilité à l'endroit de nouvelles atteintes qui seraient survenues ou qui se seraient manifestées après la résiliation du contrat de prévoyance. Il n'était en effet pas possible de conclure à un changement radical, au 1 er février 2005, de la nature des atteintes qui frappaient l'assuré, changement qui aurait pu entraîner une libération partielle de la recourante. En suivant le raisonnement de la recourante, on remettrait par ailleurs en cause a posteriori l'octroi de la rente entière d'invalidité de la prévoyance professionnelle, pourtant admis par elle depuis plusieurs années, en se basant sur une prétendue erreur d'estimation de l'office AI, erreur qui ne pouvait toutefois plus être prise en compte juridiquement, vu l'entrée en force du jugement du Tribunal administratif fédéral.</w:t>
      </w:r>
    </w:p>
    <w:p>
      <w:r>
        <w:rPr>
          <w:b/>
        </w:rPr>
        <w:t>E. 2.2</w:t>
      </w:r>
    </w:p>
    <w:p>
      <w:r>
        <w:t>La recourante reproche à la juridiction cantonale d'avoir procédé à une constatation manifestement inexacte des faits pertinents, consécutive à une mauvaise appréciation des preuves, et d'avoir violé le droit fédéral. En substance, la juridiction cantonale aurait considéré de manière erronée que le degré d'invalidité de l'assuré était resté BGE 138 V 409 S. 414 stable à 89 %, puis avait diminué à 70 % à compter du 1 er février 2005. En réalité, le degré d'invalidité s'élevait à 58 %, comme l'avait constaté l'office AI, sans que sa décision ne soit remise en cause. La juridiction cantonale avait méconnu le fait que la rente entière d'invalidité avait été confirmée, non pas en raison de l'existence d'un taux d'invalidité ouvrant le droit à une telle rente, mais au motif que la décision de reconsidération prise par l'office AI ne pouvait pas avoir d'effet rétroactif. Elle aurait également méconnu le fait que l'institution de prévoyance était en droit, conformément à l' art. 49 LPP (RS 831.40), d'adapter rétroactivement ses prestations au taux d'invalidité de 58 % retenu par l'office AI. Par ailleurs, elle n'aurait pas examiné dans quelle mesure la nouvelle cause à l'origine de l'augmentation du degré d'invalidité avait une incidence sur le droit à la rente. Or, il n'était pas contesté par les parties que l'état de santé de l'assuré s'était dégradé depuis novembre 2004 en raison d'une cause différente de celle à l'origine de la première invalidité. Faute de connexité matérielle, elle n'avait pas à répondre d'une augmentation de l'invalidité consécutive à cette aggravation.</w:t>
      </w:r>
    </w:p>
    <w:p>
      <w:r>
        <w:rPr>
          <w:b/>
        </w:rPr>
        <w:t>E. 3</w:t>
      </w:r>
    </w:p>
    <w:p>
      <w:r>
        <w:t>Est donc principalement litigieux en l'espèce le point de savoir si et, le cas échéant, à partir de quel moment, l'institution de prévoyance était en droit, compte tenu de la situation légale et réglementaire, de réduire les prestations d'invalidité qu'elle allouait à l'assuré.</w:t>
      </w:r>
    </w:p>
    <w:p>
      <w:r>
        <w:rPr>
          <w:b/>
        </w:rPr>
        <w:t>E. 3.1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 ATF 126 V 308 consid. 1 p. 311).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 ATF 118 V 35 consid. 2b/aa p. 40; ATF 115 V 208 consid. 2c p. 212). Toutefois, lorsque l'institution de prévoyance s'en tient à ce qu'ont décidé les organes de BGE 138 V 409 S. 415 l'assurance invalidité quant à la fixation du degré d'invalidité ou se fonde même sur leur décision, la force contraignante, voulue par le législateur et exprimée dans les art. 23 ss LPP , s'applique, sous réserve du caractère d'emblée insoutenable de la décision de l'assurance-invalidité (voir arrêt du Tribunal fédéral des assurances B 39/03 du 9 février 2004 consid. 3.1).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 ATF 130 V 270 consid. 3.1 p. 274 et la référence).</w:t>
      </w:r>
    </w:p>
    <w:p>
      <w:r>
        <w:rPr>
          <w:b/>
        </w:rPr>
        <w:t>E. 3.2</w:t>
      </w:r>
    </w:p>
    <w:p>
      <w:r>
        <w:t>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 ATF 133 V 67 consid. 4.3.1 p. 68),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la jurisprudence a reconnu le droit pour une institution de prévoyance de s'écarter d'une décision de l'assurance-invalidité lorsqu'elle est d'emblée insoutenable, il n'y a pas de raison en effet pour que celle-ci ne puisse pas en faire de même lorsqu'elle ne s'aperçoit qu'après coup du caractère manifestement erroné de la décision sur laquelle elle s'est fondée (MARC HÜRZELER, Invaliditätsproblematiken in der beruflichen Vorsorge, 2006, p. 202 n. 480). La seule limite qu'il y a lieu de poser à cette faculté est le BGE 138 V 409 S. 416 respect des garanties et des principes constitutionnels qui régissent l'activité des institutions de prévoyance, soit l'égalité de traitement, l'interdiction de l'arbitraire, la proportionnalité ou encore la bonne foi.</w:t>
      </w:r>
    </w:p>
    <w:p>
      <w:r>
        <w:rPr>
          <w:b/>
        </w:rPr>
        <w:t>E. 3.3</w:t>
      </w:r>
    </w:p>
    <w:p>
      <w:r>
        <w:t>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 art. 88 bis al. 2 RAI (RS 831.201), selon lequel une décision de diminution ou de suppression de rente à la suite d'une procédure de révision ou de reconsidération ne saurait en principe déployer d'effet rétroactif. En règle générale, le droit à la rente sera modifié à la suite d'une décision rendue préalablement par les organes de l'assurance-invalidité ou de renseignements donnés spontanément par la personne assurée. Dans la mesure où il s'agit là de facteurs sur lesquels une institution de prévoyance n'a aucune maîtrise, elle doit néanmoins, même si elle s'en tient en principe à ce qu'ont décidé les organes de l'assurance-invalidité, avoir la possibilité d'établir les faits et d'administrer les moyens de preuve déterminants pour statuer sur le droit aux prestations. S'il en résulte que les conditions permettant la diminution ou la suppression de la rente sont remplies, l'institution de prévoyance est habilitée à procéder à l'adaptation de cette rente, avec effet au premier jour du second mois suivant la notification de la communication y relative, pour autant que la personne assurée ait respecté son obligation de renseigner, les actes d'instruction accomplis par l'institution de prévoyance ne pouvant se substituer à cette obligation. A défaut, la diminution ou la suppression de la rente doit prendre effet rétroactivement à la date où elle a cessé de correspondre aux droits de la personne assurée (voir ATF 133 V 67 consid. 4.3.5 p. 70).</w:t>
      </w:r>
    </w:p>
    <w:p>
      <w:r>
        <w:rPr>
          <w:b/>
        </w:rPr>
        <w:t>E. 4.1</w:t>
      </w:r>
    </w:p>
    <w:p>
      <w:r>
        <w:t>D'après l'art. 5 du règlement de prévoyance - dans sa teneur en vigueur depuis le 1 er janvier 1985, applicable à la présente espèce -, il y a invalidité lorsqu'il est médicalement établi, sur la base de signes objectifs, que par suite de maladie (y compris le déclin des facultés mentales et physiques) ou de lésion corporelle involontaire, l'assuré n'est totalement ou partiellement plus en mesure d'exercer sa profession ou une autre activité lucrative conforme à sa position sociale, à ses connaissances et à ses aptitudes, ou qu'il est invalide au sens de l'AI (al. 1). En cas d'invalidité partielle, les prestations BGE 138 V 409 S. 417 prévues pour une invalidité totale sont accordées proportionnellement au degré d'invalidité. L'invalidité de moins d'un quart n'ouvre pas droit aux prestations assurées. Les prestations pleines sont accordées en cas d'invalidité d'au moins deux tiers. D'éventuelles dispositions légales à teneur différente sont réservées. Le degré d'invalidité correspond au moins à celui que reconnaît l'AI (al. 2). Si l'invalidité a été intentionnellement causée ou aggravée, les prestations y relatives ne sont pas dues, à l'exception des prestations obligatoires selon la LPP; ces dernières seront toutefois réduites dans la mesure où l'AI refuse, réduit ou retire les siennes (al. 3).</w:t>
      </w:r>
    </w:p>
    <w:p>
      <w:r>
        <w:rPr>
          <w:b/>
        </w:rPr>
        <w:t>E. 4.2</w:t>
      </w:r>
    </w:p>
    <w:p>
      <w:r>
        <w:t>La disposition réglementaire relative à la notion d'invalidité va au-delà des exigences légales prévues pour la prévoyance professionnelle obligatoire sous un double aspect. D'une part, le règlement prévoit l'allocation d'une rente déjà à partir d'un degré d'invalidité de 25 %. D'autre part, la notion d'invalidité est définie de manière plus large que dans la LAI (et dans la LPP), puisque l'invalidité peut résulter de l'incapacité d'exercer sa profession ou une autre activité lucrative conforme à sa position sociale, à ses connaissances et à ses aptitudes, l'invalidité au sens de l'AI ne constituant qu'une alternative à cette possibilité (à propos d'une disposition réglementaire à la formulation identique, voir arrêt B 140/06 du 27 mars 2007 consid. 3.3).</w:t>
      </w:r>
    </w:p>
    <w:p>
      <w:r>
        <w:rPr>
          <w:b/>
        </w:rPr>
        <w:t>E. 5.1</w:t>
      </w:r>
    </w:p>
    <w:p>
      <w:r>
        <w:t>En l'occurrence, la recourante a adopté une définition de l'invalidité qui ne concorde pas avec celle de l'assurance-invalidité. Alors qu'elle pouvait statuer librement selon ses propres règles sans devoir s'en tenir à ce qu'avaient décidé les organes de l'assurance-invalidité, elle a néanmoins repris à son compte l'évaluation initiale de l'invalidité effectuée par l'office AI et, partant, considéré que l'assuré présentait un degré d'invalidité de 89 %.</w:t>
      </w:r>
    </w:p>
    <w:p>
      <w:r>
        <w:rPr>
          <w:b/>
        </w:rPr>
        <w:t>E. 5.2</w:t>
      </w:r>
    </w:p>
    <w:p>
      <w:r>
        <w:t>Pour les motifs mis en évidence précédemment, une institution de prévoyance ne saurait être liée, quand bien même elle s'en tiendrait par principe aux décisions de l'assurance-invalidité, par une décision dont le contenu est manifestement insoutenable. En l'occurrence, la recourante a estimé être en droit de modifier le droit à la rente de l'assuré en raison du caractère manifestement insoutenable des bases sur lesquelles celui-ci reposait. Dans ces conditions, il appartenait à la juridiction cantonale, dans le cadre de l'action dont elle était saisie, d'examiner le bien-fondé de la modification entreprise par BGE 138 V 409 S. 418 la recourante, cela indépendamment de l'issue de la procédure qui était pendante en matière d'assurance-invalidité. En ne procédant pas à cet examen, les premiers juges ont par conséquent violé le droit fédéral.</w:t>
      </w:r>
    </w:p>
    <w:p>
      <w:r>
        <w:rPr>
          <w:b/>
        </w:rPr>
        <w:t>E. 5.3</w:t>
      </w:r>
    </w:p>
    <w:p>
      <w:r>
        <w:t>En soutenant que les parties, en donnant leur accord à la suspension de la procédure cantonale dans l'attente de la décision finale en matière d'assurance-invalidité, se seraient déclarées l'une et l'autre liées par la décision du Tribunal administratif fédéral, la juridiction cantonale est arrivée à une conclusion parfaitement insoutenable au regard de l'issue de la procédure en matière d'assurance-invalidité. Contrairement à ce que semble penser la juridiction cantonale - qui a procédé en l'espèce à une lecture biaisée du jugement en matière d'assurance-invalidité -, le Tribunal administratif fédéral n'a pas examiné le point de savoir s'il existait un motif de reconsidération, puisqu'il a considéré que cette question n'avait pas d'influence sur l'issue du litige dont il avait à traiter ("la question de savoir si les conditions d'une reconsidération au sens de l' art. 53 al. 2 LPGA sont remplies en l'espèce, si l'OAIE y a à juste titre procédé et si le taux d'invalidité de 58 % qui en résulte est correct peut être laissée ouverte dans le cas présent" [consid. 4.3]). Faute pour le Tribunal administratif fédéral de s'être prononcé sur le bien-fondé d'une éventuelle reconsidération - question à l'origine de la cause -, la recourante ne pouvait à l'évidence se déclarer liée par le jugement de cette autorité.</w:t>
      </w:r>
    </w:p>
    <w:p>
      <w:r>
        <w:rPr>
          <w:b/>
        </w:rPr>
        <w:t>E. 5.4</w:t>
      </w:r>
    </w:p>
    <w:p>
      <w:r>
        <w:t>Quoi qu'il en soit, le jugement entrepris n'a pas examiné la question de la modification du droit à la rente de la prévoyance professionnelle de l'assuré. Par conséquent, le recours doit être partiellement admis, le jugement attaqué annulé et la cause renvoyée à la juridiction cantonale pour qu'elle examine si, et le cas échéant à partir de quel moment, la recourante était en droit de réduire les prestations qu'elle allouait à l'assuré.</w:t>
      </w:r>
    </w:p>
    <w:p>
      <w:r>
        <w:rPr>
          <w:b/>
        </w:rPr>
        <w:t>E. 6</w:t>
      </w:r>
    </w:p>
    <w:p>
      <w:r>
        <w:t>Le cas échéant, la juridiction cantonale devra également examiner la question de savoir s'il doit être tenu compte, dans l'examen du droit aux prestations de la prévoyance professionnelle de l'assuré, de la dégradation de son état de santé intervenue au cours de l'année 2004.</w:t>
      </w:r>
    </w:p>
    <w:p>
      <w:r>
        <w:rPr>
          <w:b/>
        </w:rPr>
        <w:t>E. 6.1</w:t>
      </w:r>
    </w:p>
    <w:p>
      <w:r>
        <w:t>Conformément à l' art. 23 LPP , les prestations sont dues par l'institution de prévoyance à laquelle l'intéressé est - ou était - affilié au moment de la survenance de l'événement assuré; dans la prévoyance obligatoire, ce moment ne coïncide pas avec la naissance du droit à BGE 138 V 409 S. 419 la rente de l'assurance-invalidité selon l' art. 28 al. 1 let. b LAI , mais correspond à la survenance de l'incapacité de travail dont la cause est à l'origine de l'invalidité; les mêmes principes sont applicables en matière de prévoyance plus étendue, à tout le moins en l'absence de dispositions réglementaires ou statutaires contraires ( ATF 123 V 262 consid. 1b p. 264).</w:t>
      </w:r>
    </w:p>
    <w:p>
      <w:r>
        <w:rPr>
          <w:b/>
        </w:rPr>
        <w:t>E. 6.2</w:t>
      </w:r>
    </w:p>
    <w:p>
      <w:r>
        <w:t>Selon la jurisprudence, l'événement assuré au sens de l' art. 23 LPP est donc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 art. 26 al. 3 LPP ( ATF 123 V 262 consid. 1a p. 263; ATF 118 V 35 consid. 5 p. 45).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 ATF 123 V 262 consid. 1c p. 264; ATF 120 V 112 consid. 2c/aa p. 117).</w:t>
      </w:r>
    </w:p>
    <w:p>
      <w:r>
        <w:rPr>
          <w:b/>
        </w:rPr>
        <w:t>E. 6.3</w:t>
      </w:r>
    </w:p>
    <w:p>
      <w:r>
        <w:t>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BGE 138 V 409 S. 420 pour justifier le droit à une prestation de prévoyance. Il convient au contraire, conformément à l' art. 23 LPP , d'examiner séparément, en relation avec chaque atteinte à la santé, si l'incapacité de travail qui en a résulté est survenue durant l'affiliation à l'institution de prévoyance et est à l'origine d'une invalidité (arrêt du Tribunal fédéral des assurances B 32/05 du 24 juillet 2006 consid. 6 et la référence).</w:t>
      </w:r>
    </w:p>
    <w:p>
      <w:r>
        <w:rPr>
          <w:b/>
        </w:rPr>
        <w:t>E. 6.4</w:t>
      </w:r>
    </w:p>
    <w:p>
      <w:r>
        <w:t>En considérant qu'il n'y avait "pas lieu d'entrer en matière sur les arguments de la défenderesse relatifs à sa non-responsabilité à l'endroit de nouvelles atteintes qui seraient survenues ou qui se seraient manifestées après la résiliation du contrat de prévoyance", la juridiction cantonale n'a pas tranché une question juridique, qui, dans l'hypothèse où les conditions autorisant la modification du droit à la rente étaient remplies, était susceptible, eu égard aux principes jurisprudentiels exposés ci-dessus, d'avoir une influence sur le droit aux prestations de la prévoyance professionnelle. Contrairement à ce que laisse entendre la juridiction cantonale, il ressort indubitablement des pièces médicales versées au dossier que l'assuré a présenté au cours de l'année 2004 de nouvelles atteintes à la santé, notamment une insuffisance cardiaque, qui ont péjoré son état de santé (voir le rapport du Centre X. du 27 juin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